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pl-PL"/>
        </w:rPr>
        <w:t>WEWNĄTRZSZKOLNE  PROCEDURY</w:t>
      </w:r>
      <w:r>
        <w:rPr>
          <w:rFonts w:eastAsia="Times New Roman" w:cs="Times New Roman" w:ascii="Times New Roman" w:hAnsi="Times New Roman"/>
          <w:sz w:val="48"/>
          <w:szCs w:val="4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pl-PL"/>
        </w:rPr>
        <w:t xml:space="preserve">ZAPEWNIENIA UCZNIOM NIEODPŁATNEGO DOSTĘPU </w:t>
        <w:br/>
        <w:t>DO PODRĘCZNIKÓW ORAZ  MATERIAŁÓW EDUKACYJNYCH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pl-PL"/>
        </w:rPr>
        <w:t>W SAMORZĄDOWEJ SZKOLE PODSTAWOWEJ IM. POLSKICH NOBLISTÓW W NOWYM FOLWARKU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pl-PL"/>
        </w:rPr>
        <w:t>ROK SZKOLNY 201</w:t>
      </w: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pl-PL"/>
        </w:rPr>
        <w:t>9</w:t>
      </w: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pl-PL"/>
        </w:rPr>
        <w:t>/20</w:t>
      </w: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pl-PL"/>
        </w:rPr>
        <w:t>20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sz w:val="48"/>
          <w:szCs w:val="48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Podstawa prawna: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hyperlink r:id="rId2">
        <w:r>
          <w:rPr>
            <w:rStyle w:val="Czeinternetowe"/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Ustawa </w:t>
        </w:r>
      </w:hyperlink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u w:val="single"/>
          <w:lang w:eastAsia="pl-PL"/>
        </w:rPr>
        <w:t>o systemie oświaty Dz. U.  Z 2016, poz. 1943, 1954, 1985 i 2169 oraz  z 2017 r. poz. 60, 949 i 1292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hyperlink r:id="rId3">
        <w:r>
          <w:rPr>
            <w:rStyle w:val="Czeinternetowe"/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Rozporządzenie Ministra Edukacji Narodowej z dnia </w:t>
        </w:r>
        <w:r>
          <w:rPr>
            <w:rStyle w:val="Czeinternetowe"/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>14</w:t>
        </w:r>
        <w:r>
          <w:rPr>
            <w:rStyle w:val="Czeinternetowe"/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marca 201</w:t>
        </w:r>
        <w:r>
          <w:rPr>
            <w:rStyle w:val="Czeinternetowe"/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>9</w:t>
        </w:r>
        <w:r>
          <w:rPr>
            <w:rStyle w:val="Czeinternetowe"/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r. w sprawie udzielania dotacji celowej na wyposażenie szkół w podręczniki, materiały edukacyjne i materiały ćwiczeniowe</w:t>
        </w:r>
      </w:hyperlink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u w:val="single"/>
          <w:lang w:eastAsia="pl-PL"/>
        </w:rPr>
        <w:t xml:space="preserve"> w 201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u w:val="single"/>
          <w:lang w:eastAsia="pl-PL"/>
        </w:rPr>
        <w:t>9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u w:val="single"/>
          <w:lang w:eastAsia="pl-PL"/>
        </w:rPr>
        <w:t xml:space="preserve"> r.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SPIS TREŚCI: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Regulamin udostępniania uczniom </w:t>
      </w:r>
      <w:bookmarkStart w:id="0" w:name="__DdeLink__253_432314178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Samorządowej Szkoły Podstawowej im. Polskich Noblistów</w:t>
      </w:r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w Nowym Folwarku  podręczników i/ lub materiałów edukacyjnych,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Szczegółowe zasady przyjęcia, ewidencji, dystrybucji i  szacowania  stopnia  zużycia</w:t>
      </w:r>
      <w:r>
        <w:rPr>
          <w:rFonts w:cs="Times New Roman" w:ascii="Times New Roman" w:hAnsi="Times New Roman"/>
          <w:b/>
          <w:sz w:val="24"/>
          <w:szCs w:val="24"/>
        </w:rPr>
        <w:t xml:space="preserve"> podręczników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 dotacji  celowej  w Samorządowej Szkole Podstawowej im. Polskich Noblistów w Nowym Folwarku.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Regulamin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udostępniania uczniom Samorządowej Szkoły Podstawowej im. Polskich Noblistów w Nowym Folwarku  podręczników i/ lub materiałów edukacyjnych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 1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Zgodnie z art.22aj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Ustawy o systemie oświaty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podręczniki, materiały edukacyjne i ćwiczeniowe gromadzone są w bibliotece szkolnej.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Szkoła wypożycza nieodpłatnie uczniom podręczniki/materiały edukacyjne mające postać papierową.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 2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Podręczniki i materiały edukacyjne są wypożyczane (użyczane) uczniom na okres danego roku szkolnego.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Podręczniki i materiały edukacyjne są wypożyczane (użyczane) uczniom dopiero </w:t>
        <w:br/>
        <w:t xml:space="preserve">po zapoznaniu rodziców/prawnych opiekunów z procedurą użyczania (wypożyczania) </w:t>
        <w:br/>
        <w:t xml:space="preserve">i podpisania przez nich zobowiązania do jej przestrzegania. 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celu  zapewnienia pełnej i terminowej realizacji zadania, nauczyciela bibliotekarza aktywnie wspiera wychowawca klasy (sporządza aktualne listy uczniów, odpowiada </w:t>
        <w:br/>
        <w:t xml:space="preserve">za zebranie od rodziców podpisów, po tygodniu od wypożyczenia sprawdza, czy podręczniki są owinięte itp.). 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Wypożyczenia (użyczenia) podręczników dokonuje nauczyciel bibliotekarz na podstawie imiennej listy uczniów otrzymanej od wychowawców klas. Wypożyczenia zapisywane są na koncie czytelnika, jakie posiada każdy uczeń.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Podręczniki na dany rok szkolny są wypożyczane w dniu i godzinach uzgodnionych pomiędzy nauczycielem  bibliotekarzem a wychowawcą klasy. Zapis ten stosuje się również do zwrotu podręczników.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Podręczniki są wypożyczane uczniom nie później niż do 20 września,</w:t>
        <w:br/>
        <w:t>a w przypadkach innych/losowych również w innym terminie, w trakcie roku szkolnego.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Uczniowie nieobecni w szkole w dniu wypożyczenia/oddawania podręczników, </w:t>
        <w:br/>
        <w:t>w celu otrzymania/zwrotu podręcznika zgłoszą się  indywidualnie lub poprzez wychowawcę klasy do nauczyciela bibliotekarza.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Materiały ćwiczeniowe, których wartość nie jest doliczana do wartości księgozbioru biblioteki szkolnej, Szkoła przekazuje uczniom za potwierdzeniem odbioru </w:t>
        <w:br/>
        <w:t>bez obowiązku ich zwrotu. Rodzice zobowiązani są do podpisania protokołu odbioru.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 3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Podręczniki podlegają zwrotowi do biblioteki również w przypadku: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 skreślenia ucznia z księgi uczniów,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 przeniesienia ucznia do innej szkoły,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 innych zdarzeń losowych.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 4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ostatnich 3 tygodniach zajęć dydaktycznych w szkole uczniowie zwracają podręczniki do biblioteki szkolnej – według harmonogramu ustalonego przez nauczyciela bibliotekarza i wychowawców klas. Uczniowie przystępujący do egzaminu poprawkowego lub klasyfikacyjnego zwracają podręcznik nie później niż do końca sierpnia danego roku szkolnego. 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Wychowawca na 3 tygodnie przed zakończeniem zajęć dydaktycznych ma obowiązek przypomnieć uczniom o terminowym zwrocie kompletu nieuszkodzonych podręczników. 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Nadzór nad zadaniem, o którym mowa w ust. 1 realizuje wychowawca ucznia </w:t>
        <w:br/>
        <w:t>oraz nauczyciel odpowiedzialny za prowadzenie biblioteki szkolnej.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Podczas zwrotu podręcznika do biblioteki nauczyciele, o których mowa w ust. 2, dokonują oględzin podręcznika, określając stopień jego zużycia.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 5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Uczniowie są zobowiązani do używania podręcznika zgodnie z jego przeznaczeniem,  do zachowania troski o jego walor użytkowy i estetyczny oraz chronienia go przed zniszczeniem bądź zgubieniem. 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 fakcie zniszczenia lub zgubienia podręcznika uczeń jest zobowiązany poinformować nauczyciela wychowawcę i nauczyciela odpowiedzialnego za prowadzenie biblioteki.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 przypadku zgubienia podręcznika, znacznego zużycia (wykraczającego poza zwykłe używanie), zniszczenia, zalania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itp.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rodzice są zobowiązani do zakupu nowego podręcznika. Szczegółowych informacji udziela nauczyciel bibliotekarz.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Zapisu ustępu 3. nie stosuje się w przypadku zwrotu podręcznika po trzyletnim użytkowaniu.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Podręczniki należy dodatkowo  ochronić okładką.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Owinięcie podręczników JEST OBOWIĄZKIEM UCZNIA.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Nie wolno niczego zaznaczać, dopisywać, dorysowywać , doklejać, podkreślać, wycinać i wyrywać stron.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 6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Regulamin obowiązuje wszystkich nauczycieli szkoły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a także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uczniów klas1-8 szkoły podstawowej.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SZCZEGÓŁOWE ZASADY PRZYJĘCIA, EWIDENCJI, DYSTRYBUCJI I  SZACOWANIA  STOPNIA  ZUŻYCIA</w:t>
      </w:r>
      <w:r>
        <w:rPr>
          <w:rFonts w:cs="Times New Roman" w:ascii="Times New Roman" w:hAnsi="Times New Roman"/>
          <w:b/>
          <w:sz w:val="24"/>
          <w:szCs w:val="24"/>
        </w:rPr>
        <w:t xml:space="preserve"> PODRĘCZNIKÓW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 DOTACJI  CELOWEJ W SAMORZĄDOWEJ SZKOLE PODSTAWOWEJ IM. POLSKICH NOBLISTÓW W NOWYM FOLWARKU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Zasady przyjęcia podręczników na stan biblioteki szkolnej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art. 22aj. ust.1.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 Ustawy o systemie oświaty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podręczniki, materiały edukacyjne, materiały ćwiczeniowe są gromadzone i ewidencjonowane  w bibliotece szkolnej.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Czynności związane z zakupem do biblioteki szkolnej podręczników, materiałów edukacyjnych, materiałów ćwiczeniowych i innych materiałów bibliotecznych oraz czynności związane z gospodarowaniem tymi podręcznikami i materiałami wykonuje dyrektor szkoły (art. 22aj. ust.2.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 Ustawy o systemie oświaty).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Celem właściwej identyfikacji podręczników/materiałów edukacyjnych z dotacji celowej nauczyciel bibliotekarz prowadzi ewidencję otrzymanych podręczników.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Sposób ewidencjonowania nieodpłatnych podręczników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Dla podręczników z dotacji celowej  nauczyciel prowadzący bibliotekę zakłada odrębną  księgę inwentarzową.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Księgę należy dodatkowo oznaczyć opisać jako Księga inwentarzowa – Podręczniki MEN (dla odróżnienia od księgi inwentarza głównego).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zapełnieniu pierwszej księgi inwentarzowej zakłada się następną, kontynuując numerację wpisywanych pozycji.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Materiałów ćwiczeniowych nie wpisuje się do księgi inwentarzowej, gdyż ich wartość nie jest wliczana do wartości księgozbioru.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Sposób opisu nieodpłatnych podręczników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1. Każdy podręcznik należy opieczętować pieczątką biblioteki na  karcie tytułowej.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Każdy podręcznik otrzymuje indywidualny nr ewidencyjny zgodnie z zapisem w księdze inwentarzowej z dopiskiem MEN (np.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123 MEN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Tryb wypożyczania podręczników uczniom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Podręczniki są wypożyczane uczniom  po podpisaniu przez rodziców/prawnych opiekunów potwierdzenia zapoznania się z procedurami użyczania podręczników i podpisaniu potwierdzenia wypożyczenia.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§5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Szacowanie stopnia  zużycia podręcznika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Stopień zużycia podręcznika określają: nauczyciel bibliotekarz oraz wychowawca.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highlight w:val="white"/>
          <w:u w:val="none"/>
          <w:effect w:val="none"/>
          <w:lang w:eastAsia="pl-PL"/>
        </w:rPr>
        <w:t xml:space="preserve">Poprzez zniszczenie podręcznika rozumiemy: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  <w:lang w:eastAsia="pl-PL"/>
        </w:rPr>
        <w:t>podręcznik</w:t>
      </w:r>
      <w:r>
        <w:rPr>
          <w:rFonts w:eastAsia="Times New Roman" w:cs="Times New Roman" w:ascii="Times New Roman" w:hAnsi="Times New Roman"/>
          <w:b w:val="false"/>
          <w:b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highlight w:val="white"/>
          <w:u w:val="none"/>
          <w:effect w:val="non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highlight w:val="white"/>
          <w:u w:val="none"/>
          <w:effect w:val="none"/>
          <w:lang w:eastAsia="pl-PL"/>
        </w:rPr>
        <w:t xml:space="preserve">zatłuszczony, zaplamiony,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  <w:lang w:eastAsia="pl-PL"/>
        </w:rPr>
        <w:t>zalany</w:t>
      </w:r>
      <w:r>
        <w:rPr>
          <w:rFonts w:eastAsia="Times New Roman" w:cs="Times New Roman" w:ascii="Times New Roman" w:hAnsi="Times New Roman"/>
          <w:b w:val="false"/>
          <w:b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highlight w:val="white"/>
          <w:u w:val="none"/>
          <w:effect w:val="non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highlight w:val="white"/>
          <w:u w:val="none"/>
          <w:effect w:val="none"/>
          <w:lang w:eastAsia="pl-PL"/>
        </w:rPr>
        <w:t xml:space="preserve">oraz porysowany, popisany, popodkreślany, pozaznaczany i podarty,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highlight w:val="white"/>
          <w:u w:val="none"/>
          <w:effect w:val="none"/>
          <w:lang w:eastAsia="pl-PL"/>
        </w:rPr>
        <w:t>pozbawiony integralnych części, takich jak materiały dodatkowe typu płyta CD, MP3, DVD wklejka czy mapa.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l-PL"/>
        </w:rPr>
        <w:t>Rodzic i uczeń ma prawo wyrażenia własnej oceny.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 ocenie stopnia zużycia podręcznika należy uwzględnić: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 podręcznik był chroniony okładką  (nie ma pozaginanych rogów),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 ma wszystkie kartki i strony,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czy nie ma plam, odręcznych rysunków, zaznaczeń, dopisków,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  nie jest zalany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 nie ma innych uszkodzeń, które uniemożliwiają lub utrudniają możliwość z jego korzystania,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 zawiera materiały dodatkowe będące częścią podręcznika (MP3, CD, DVD itp.).</w:t>
      </w:r>
    </w:p>
    <w:p>
      <w:pPr>
        <w:pStyle w:val="Normal"/>
        <w:spacing w:lineRule="auto" w:line="240" w:beforeAutospacing="1" w:afterAutospacing="1"/>
        <w:ind w:left="284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 W spawach spornych ostateczną decyzję dotyczącą stopnia zużycia podręcznika podejmuje Dyrektor szkoły.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Przechowywanie podręczników i dokumentacji 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okresach miedzy wypożyczeniami (okres wakacji) podręczniki z dotacji celowej zabezpiecza się w bibliotece szkolnej.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 bibliotekarz segreguje podręczniki i umieszcza na opisanych regałach.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Nadzór nad prawidłowym przechowywaniem podręczników i dokumentacji sprawuje Dyrektor szkoły.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ab/>
        <w:tab/>
        <w:tab/>
        <w:tab/>
        <w:t>Podpisał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ab/>
        <w:tab/>
        <w:t>Dyrektor Szkoły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ab/>
        <w:tab/>
        <w:t>mgr Sławomira Czarnecka</w:t>
      </w:r>
    </w:p>
    <w:p>
      <w:pPr>
        <w:pStyle w:val="Normal"/>
        <w:widowControl/>
        <w:bidi w:val="0"/>
        <w:spacing w:lineRule="auto" w:line="276" w:before="0" w:after="200"/>
        <w:jc w:val="center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8874483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25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cd593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cd5938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cd59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5938"/>
    <w:rPr>
      <w:b/>
      <w:bCs/>
    </w:rPr>
  </w:style>
  <w:style w:type="character" w:styleId="Wyrnienie">
    <w:name w:val="Wyróżnienie"/>
    <w:basedOn w:val="DefaultParagraphFont"/>
    <w:uiPriority w:val="20"/>
    <w:qFormat/>
    <w:rsid w:val="00cd5938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d5938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f000f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000f2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4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cs="Symbol"/>
      <w:sz w:val="24"/>
    </w:rPr>
  </w:style>
  <w:style w:type="character" w:styleId="ListLabel56">
    <w:name w:val="ListLabel 56"/>
    <w:qFormat/>
    <w:rPr>
      <w:rFonts w:cs="Courier New"/>
      <w:sz w:val="20"/>
    </w:rPr>
  </w:style>
  <w:style w:type="character" w:styleId="ListLabel57">
    <w:name w:val="ListLabel 57"/>
    <w:qFormat/>
    <w:rPr>
      <w:rFonts w:cs="Wingdings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Symbol"/>
      <w:sz w:val="24"/>
    </w:rPr>
  </w:style>
  <w:style w:type="character" w:styleId="ListLabel65">
    <w:name w:val="ListLabel 65"/>
    <w:qFormat/>
    <w:rPr>
      <w:rFonts w:cs="Courier New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4">
    <w:name w:val="ListLabel 74"/>
    <w:qFormat/>
    <w:rPr>
      <w:rFonts w:cs="Courier New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cs="Symbol"/>
      <w:sz w:val="24"/>
    </w:rPr>
  </w:style>
  <w:style w:type="character" w:styleId="ListLabel83">
    <w:name w:val="ListLabel 83"/>
    <w:qFormat/>
    <w:rPr>
      <w:rFonts w:cs="Courier New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cs="Symbol"/>
      <w:sz w:val="24"/>
    </w:rPr>
  </w:style>
  <w:style w:type="character" w:styleId="ListLabel92">
    <w:name w:val="ListLabel 92"/>
    <w:qFormat/>
    <w:rPr>
      <w:rFonts w:cs="Courier New"/>
      <w:sz w:val="20"/>
    </w:rPr>
  </w:style>
  <w:style w:type="character" w:styleId="ListLabel93">
    <w:name w:val="ListLabel 93"/>
    <w:qFormat/>
    <w:rPr>
      <w:rFonts w:cs="Wingdings"/>
      <w:sz w:val="20"/>
    </w:rPr>
  </w:style>
  <w:style w:type="character" w:styleId="ListLabel94">
    <w:name w:val="ListLabel 94"/>
    <w:qFormat/>
    <w:rPr>
      <w:rFonts w:cs="Wingdings"/>
      <w:sz w:val="20"/>
    </w:rPr>
  </w:style>
  <w:style w:type="character" w:styleId="ListLabel95">
    <w:name w:val="ListLabel 95"/>
    <w:qFormat/>
    <w:rPr>
      <w:rFonts w:cs="Wingdings"/>
      <w:sz w:val="20"/>
    </w:rPr>
  </w:style>
  <w:style w:type="character" w:styleId="ListLabel96">
    <w:name w:val="ListLabel 96"/>
    <w:qFormat/>
    <w:rPr>
      <w:rFonts w:cs="Wingdings"/>
      <w:sz w:val="20"/>
    </w:rPr>
  </w:style>
  <w:style w:type="character" w:styleId="ListLabel97">
    <w:name w:val="ListLabel 97"/>
    <w:qFormat/>
    <w:rPr>
      <w:rFonts w:cs="Wingdings"/>
      <w:sz w:val="20"/>
    </w:rPr>
  </w:style>
  <w:style w:type="character" w:styleId="ListLabel98">
    <w:name w:val="ListLabel 98"/>
    <w:qFormat/>
    <w:rPr>
      <w:rFonts w:cs="Wingdings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ascii="Times New Roman" w:hAnsi="Times New Roman" w:cs="Symbol"/>
      <w:sz w:val="24"/>
    </w:rPr>
  </w:style>
  <w:style w:type="character" w:styleId="ListLabel101">
    <w:name w:val="ListLabel 101"/>
    <w:qFormat/>
    <w:rPr>
      <w:rFonts w:cs="Courier New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cs="Wingdings"/>
      <w:sz w:val="20"/>
    </w:rPr>
  </w:style>
  <w:style w:type="character" w:styleId="ListLabel105">
    <w:name w:val="ListLabel 105"/>
    <w:qFormat/>
    <w:rPr>
      <w:rFonts w:cs="Wingdings"/>
      <w:sz w:val="20"/>
    </w:rPr>
  </w:style>
  <w:style w:type="character" w:styleId="ListLabel106">
    <w:name w:val="ListLabel 106"/>
    <w:qFormat/>
    <w:rPr>
      <w:rFonts w:cs="Wingdings"/>
      <w:sz w:val="20"/>
    </w:rPr>
  </w:style>
  <w:style w:type="character" w:styleId="ListLabel107">
    <w:name w:val="ListLabel 107"/>
    <w:qFormat/>
    <w:rPr>
      <w:rFonts w:cs="Wingdings"/>
      <w:sz w:val="20"/>
    </w:rPr>
  </w:style>
  <w:style w:type="character" w:styleId="ListLabel108">
    <w:name w:val="ListLabel 108"/>
    <w:qFormat/>
    <w:rPr>
      <w:rFonts w:cs="Wingdings"/>
      <w:sz w:val="20"/>
    </w:rPr>
  </w:style>
  <w:style w:type="character" w:styleId="ListLabel109">
    <w:name w:val="ListLabel 109"/>
    <w:qFormat/>
    <w:rPr>
      <w:rFonts w:cs="Symbol"/>
      <w:sz w:val="24"/>
    </w:rPr>
  </w:style>
  <w:style w:type="character" w:styleId="ListLabel110">
    <w:name w:val="ListLabel 110"/>
    <w:qFormat/>
    <w:rPr>
      <w:rFonts w:cs="Courier New"/>
      <w:sz w:val="20"/>
    </w:rPr>
  </w:style>
  <w:style w:type="character" w:styleId="ListLabel111">
    <w:name w:val="ListLabel 111"/>
    <w:qFormat/>
    <w:rPr>
      <w:rFonts w:cs="Wingdings"/>
      <w:sz w:val="20"/>
    </w:rPr>
  </w:style>
  <w:style w:type="character" w:styleId="ListLabel112">
    <w:name w:val="ListLabel 112"/>
    <w:qFormat/>
    <w:rPr>
      <w:rFonts w:cs="Wingdings"/>
      <w:sz w:val="20"/>
    </w:rPr>
  </w:style>
  <w:style w:type="character" w:styleId="ListLabel113">
    <w:name w:val="ListLabel 113"/>
    <w:qFormat/>
    <w:rPr>
      <w:rFonts w:cs="Wingdings"/>
      <w:sz w:val="20"/>
    </w:rPr>
  </w:style>
  <w:style w:type="character" w:styleId="ListLabel114">
    <w:name w:val="ListLabel 114"/>
    <w:qFormat/>
    <w:rPr>
      <w:rFonts w:cs="Wingdings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character" w:styleId="ListLabel118">
    <w:name w:val="ListLabel 118"/>
    <w:qFormat/>
    <w:rPr>
      <w:rFonts w:cs="Symbol"/>
      <w:sz w:val="24"/>
    </w:rPr>
  </w:style>
  <w:style w:type="character" w:styleId="ListLabel119">
    <w:name w:val="ListLabel 119"/>
    <w:qFormat/>
    <w:rPr>
      <w:rFonts w:cs="Courier New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cs="Wingdings"/>
      <w:sz w:val="20"/>
    </w:rPr>
  </w:style>
  <w:style w:type="character" w:styleId="ListLabel122">
    <w:name w:val="ListLabel 122"/>
    <w:qFormat/>
    <w:rPr>
      <w:rFonts w:cs="Wingdings"/>
      <w:sz w:val="20"/>
    </w:rPr>
  </w:style>
  <w:style w:type="character" w:styleId="ListLabel123">
    <w:name w:val="ListLabel 123"/>
    <w:qFormat/>
    <w:rPr>
      <w:rFonts w:cs="Wingdings"/>
      <w:sz w:val="20"/>
    </w:rPr>
  </w:style>
  <w:style w:type="character" w:styleId="ListLabel124">
    <w:name w:val="ListLabel 124"/>
    <w:qFormat/>
    <w:rPr>
      <w:rFonts w:cs="Wingdings"/>
      <w:sz w:val="20"/>
    </w:rPr>
  </w:style>
  <w:style w:type="character" w:styleId="ListLabel125">
    <w:name w:val="ListLabel 125"/>
    <w:qFormat/>
    <w:rPr>
      <w:rFonts w:cs="Wingdings"/>
      <w:sz w:val="20"/>
    </w:rPr>
  </w:style>
  <w:style w:type="character" w:styleId="ListLabel126">
    <w:name w:val="ListLabel 126"/>
    <w:qFormat/>
    <w:rPr>
      <w:rFonts w:cs="Wingdings"/>
      <w:sz w:val="20"/>
    </w:rPr>
  </w:style>
  <w:style w:type="character" w:styleId="ListLabel127">
    <w:name w:val="ListLabel 127"/>
    <w:qFormat/>
    <w:rPr>
      <w:rFonts w:ascii="Times New Roman" w:hAnsi="Times New Roman" w:cs="Symbol"/>
      <w:sz w:val="24"/>
    </w:rPr>
  </w:style>
  <w:style w:type="character" w:styleId="ListLabel128">
    <w:name w:val="ListLabel 128"/>
    <w:qFormat/>
    <w:rPr>
      <w:rFonts w:cs="Courier New"/>
      <w:sz w:val="20"/>
    </w:rPr>
  </w:style>
  <w:style w:type="character" w:styleId="ListLabel129">
    <w:name w:val="ListLabel 129"/>
    <w:qFormat/>
    <w:rPr>
      <w:rFonts w:cs="Wingdings"/>
      <w:sz w:val="20"/>
    </w:rPr>
  </w:style>
  <w:style w:type="character" w:styleId="ListLabel130">
    <w:name w:val="ListLabel 130"/>
    <w:qFormat/>
    <w:rPr>
      <w:rFonts w:cs="Wingdings"/>
      <w:sz w:val="20"/>
    </w:rPr>
  </w:style>
  <w:style w:type="character" w:styleId="ListLabel131">
    <w:name w:val="ListLabel 131"/>
    <w:qFormat/>
    <w:rPr>
      <w:rFonts w:cs="Wingdings"/>
      <w:sz w:val="20"/>
    </w:rPr>
  </w:style>
  <w:style w:type="character" w:styleId="ListLabel132">
    <w:name w:val="ListLabel 132"/>
    <w:qFormat/>
    <w:rPr>
      <w:rFonts w:cs="Wingdings"/>
      <w:sz w:val="20"/>
    </w:rPr>
  </w:style>
  <w:style w:type="character" w:styleId="ListLabel133">
    <w:name w:val="ListLabel 133"/>
    <w:qFormat/>
    <w:rPr>
      <w:rFonts w:cs="Wingdings"/>
      <w:sz w:val="20"/>
    </w:rPr>
  </w:style>
  <w:style w:type="character" w:styleId="ListLabel134">
    <w:name w:val="ListLabel 134"/>
    <w:qFormat/>
    <w:rPr>
      <w:rFonts w:cs="Wingdings"/>
      <w:sz w:val="20"/>
    </w:rPr>
  </w:style>
  <w:style w:type="character" w:styleId="ListLabel135">
    <w:name w:val="ListLabel 135"/>
    <w:qFormat/>
    <w:rPr>
      <w:rFonts w:cs="Wingdings"/>
      <w:sz w:val="20"/>
    </w:rPr>
  </w:style>
  <w:style w:type="character" w:styleId="ListLabel136">
    <w:name w:val="ListLabel 136"/>
    <w:qFormat/>
    <w:rPr>
      <w:rFonts w:cs="Symbol"/>
      <w:sz w:val="24"/>
    </w:rPr>
  </w:style>
  <w:style w:type="character" w:styleId="ListLabel137">
    <w:name w:val="ListLabel 137"/>
    <w:qFormat/>
    <w:rPr>
      <w:rFonts w:cs="Courier New"/>
      <w:sz w:val="20"/>
    </w:rPr>
  </w:style>
  <w:style w:type="character" w:styleId="ListLabel138">
    <w:name w:val="ListLabel 138"/>
    <w:qFormat/>
    <w:rPr>
      <w:rFonts w:cs="Wingdings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cs="Wingdings"/>
      <w:sz w:val="20"/>
    </w:rPr>
  </w:style>
  <w:style w:type="character" w:styleId="ListLabel144">
    <w:name w:val="ListLabel 144"/>
    <w:qFormat/>
    <w:rPr>
      <w:rFonts w:cs="Wingdings"/>
      <w:sz w:val="20"/>
    </w:rPr>
  </w:style>
  <w:style w:type="character" w:styleId="ListLabel145">
    <w:name w:val="ListLabel 145"/>
    <w:qFormat/>
    <w:rPr>
      <w:rFonts w:cs="Symbol"/>
      <w:sz w:val="24"/>
    </w:rPr>
  </w:style>
  <w:style w:type="character" w:styleId="ListLabel146">
    <w:name w:val="ListLabel 146"/>
    <w:qFormat/>
    <w:rPr>
      <w:rFonts w:cs="Courier New"/>
      <w:sz w:val="20"/>
    </w:rPr>
  </w:style>
  <w:style w:type="character" w:styleId="ListLabel147">
    <w:name w:val="ListLabel 147"/>
    <w:qFormat/>
    <w:rPr>
      <w:rFonts w:cs="Wingdings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cs="Wingdings"/>
      <w:sz w:val="20"/>
    </w:rPr>
  </w:style>
  <w:style w:type="character" w:styleId="ListLabel153">
    <w:name w:val="ListLabel 153"/>
    <w:qFormat/>
    <w:rPr>
      <w:rFonts w:cs="Wingdings"/>
      <w:sz w:val="20"/>
    </w:rPr>
  </w:style>
  <w:style w:type="character" w:styleId="ListLabel154">
    <w:name w:val="ListLabel 154"/>
    <w:qFormat/>
    <w:rPr>
      <w:rFonts w:ascii="Times New Roman" w:hAnsi="Times New Roman" w:cs="Symbol"/>
      <w:sz w:val="24"/>
    </w:rPr>
  </w:style>
  <w:style w:type="character" w:styleId="ListLabel155">
    <w:name w:val="ListLabel 155"/>
    <w:qFormat/>
    <w:rPr>
      <w:rFonts w:cs="Courier New"/>
      <w:sz w:val="20"/>
    </w:rPr>
  </w:style>
  <w:style w:type="character" w:styleId="ListLabel156">
    <w:name w:val="ListLabel 156"/>
    <w:qFormat/>
    <w:rPr>
      <w:rFonts w:cs="Wingdings"/>
      <w:sz w:val="20"/>
    </w:rPr>
  </w:style>
  <w:style w:type="character" w:styleId="ListLabel157">
    <w:name w:val="ListLabel 157"/>
    <w:qFormat/>
    <w:rPr>
      <w:rFonts w:cs="Wingdings"/>
      <w:sz w:val="20"/>
    </w:rPr>
  </w:style>
  <w:style w:type="character" w:styleId="ListLabel158">
    <w:name w:val="ListLabel 158"/>
    <w:qFormat/>
    <w:rPr>
      <w:rFonts w:cs="Wingdings"/>
      <w:sz w:val="20"/>
    </w:rPr>
  </w:style>
  <w:style w:type="character" w:styleId="ListLabel159">
    <w:name w:val="ListLabel 159"/>
    <w:qFormat/>
    <w:rPr>
      <w:rFonts w:cs="Wingdings"/>
      <w:sz w:val="20"/>
    </w:rPr>
  </w:style>
  <w:style w:type="character" w:styleId="ListLabel160">
    <w:name w:val="ListLabel 160"/>
    <w:qFormat/>
    <w:rPr>
      <w:rFonts w:cs="Wingdings"/>
      <w:sz w:val="20"/>
    </w:rPr>
  </w:style>
  <w:style w:type="character" w:styleId="ListLabel161">
    <w:name w:val="ListLabel 161"/>
    <w:qFormat/>
    <w:rPr>
      <w:rFonts w:cs="Wingdings"/>
      <w:sz w:val="20"/>
    </w:rPr>
  </w:style>
  <w:style w:type="character" w:styleId="ListLabel162">
    <w:name w:val="ListLabel 162"/>
    <w:qFormat/>
    <w:rPr>
      <w:rFonts w:cs="Wingdings"/>
      <w:sz w:val="20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d59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59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67a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f000f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00f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ziennikustaw.gov.pl/du/2014/290/1" TargetMode="External"/><Relationship Id="rId3" Type="http://schemas.openxmlformats.org/officeDocument/2006/relationships/hyperlink" Target="http://dokumenty.rcl.gov.pl/DU/rok/2014/pozycja/902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LibreOffice/5.2.3.3$Windows_x86 LibreOffice_project/d54a8868f08a7b39642414cf2c8ef2f228f780cf</Application>
  <Pages>6</Pages>
  <Words>1039</Words>
  <Characters>7064</Characters>
  <CharactersWithSpaces>8042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2015-08-24T12:19:00Z</dcterms:created>
  <dc:creator>Bibliotekarz</dc:creator>
  <dc:description/>
  <dc:language>pl-PL</dc:language>
  <cp:lastModifiedBy/>
  <cp:lastPrinted>2019-08-28T14:25:43Z</cp:lastPrinted>
  <dcterms:modified xsi:type="dcterms:W3CDTF">2019-08-28T14:26:43Z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